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header1.xml" ContentType="application/vnd.openxmlformats-officedocument.wordprocessingml.header+xml"/>
  <Override PartName="/word/theme/theme1.xml" ContentType="application/vnd.openxmlformats-officedocument.theme+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jc w:val="center"/>
        <w:rPr>
          <w:b/>
          <w:b/>
          <w:sz w:val="24"/>
          <w:szCs w:val="24"/>
        </w:rPr>
      </w:pPr>
      <w:r>
        <w:rPr>
          <w:rFonts w:eastAsia="Calibri" w:cs="" w:cstheme="minorBidi" w:eastAsiaTheme="minorHAnsi"/>
          <w:b/>
          <w:color w:val="auto"/>
          <w:kern w:val="0"/>
          <w:sz w:val="28"/>
          <w:szCs w:val="28"/>
          <w:lang w:val="en-GB" w:eastAsia="en-US" w:bidi="ar-SA"/>
        </w:rPr>
        <w:t xml:space="preserve">Javea - </w:t>
      </w:r>
      <w:r>
        <w:rPr>
          <w:b/>
          <w:sz w:val="28"/>
          <w:szCs w:val="28"/>
        </w:rPr>
        <w:t>Around the Gorgos and Javea Old Town</w:t>
      </w:r>
    </w:p>
    <w:tbl>
      <w:tblPr>
        <w:tblW w:w="9689" w:type="dxa"/>
        <w:jc w:val="left"/>
        <w:tblInd w:w="58" w:type="dxa"/>
        <w:tblLayout w:type="fixed"/>
        <w:tblCellMar>
          <w:top w:w="0" w:type="dxa"/>
          <w:left w:w="10" w:type="dxa"/>
          <w:bottom w:w="0" w:type="dxa"/>
          <w:right w:w="0" w:type="dxa"/>
        </w:tblCellMar>
      </w:tblPr>
      <w:tblGrid>
        <w:gridCol w:w="1750"/>
        <w:gridCol w:w="2206"/>
        <w:gridCol w:w="5733"/>
      </w:tblGrid>
      <w:tr>
        <w:trPr>
          <w:trHeight w:val="675" w:hRule="atLeast"/>
        </w:trPr>
        <w:tc>
          <w:tcPr>
            <w:tcW w:w="1750" w:type="dxa"/>
            <w:tcBorders>
              <w:top w:val="single" w:sz="8" w:space="0" w:color="000000"/>
              <w:left w:val="single" w:sz="8" w:space="0" w:color="000000"/>
              <w:bottom w:val="single" w:sz="4" w:space="0" w:color="000000"/>
            </w:tcBorders>
            <w:shd w:fill="FFFFFF" w:val="clear"/>
          </w:tcPr>
          <w:p>
            <w:pPr>
              <w:pStyle w:val="Tableleft"/>
              <w:widowControl w:val="false"/>
              <w:spacing w:lineRule="atLeast" w:line="100" w:before="60" w:after="0"/>
              <w:jc w:val="left"/>
              <w:rPr>
                <w:rStyle w:val="Chtext"/>
                <w:rFonts w:ascii="Calibri" w:hAnsi="Calibri" w:cs="Calibri"/>
                <w:b/>
                <w:b/>
                <w:bCs/>
                <w:i w:val="false"/>
                <w:i w:val="false"/>
                <w:iCs w:val="false"/>
                <w:strike w:val="false"/>
                <w:dstrike w:val="false"/>
                <w:outline w:val="false"/>
                <w:shadow w:val="false"/>
                <w:color w:val="00000A"/>
                <w:sz w:val="24"/>
                <w:szCs w:val="24"/>
                <w:u w:val="none"/>
                <w:em w:val="none"/>
              </w:rPr>
            </w:pPr>
            <w:r>
              <w:rPr>
                <w:rStyle w:val="Chtext"/>
                <w:rFonts w:cs="Calibri" w:ascii="Calibri" w:hAnsi="Calibri"/>
                <w:b/>
                <w:bCs/>
                <w:i w:val="false"/>
                <w:iCs w:val="false"/>
                <w:color w:val="00000A"/>
                <w:sz w:val="24"/>
                <w:szCs w:val="24"/>
              </w:rPr>
              <w:t>Meeting Point</w:t>
            </w:r>
          </w:p>
        </w:tc>
        <w:tc>
          <w:tcPr>
            <w:tcW w:w="7939" w:type="dxa"/>
            <w:gridSpan w:val="2"/>
            <w:tcBorders>
              <w:top w:val="single" w:sz="8" w:space="0" w:color="000000"/>
              <w:left w:val="single" w:sz="8" w:space="0" w:color="000000"/>
              <w:bottom w:val="single" w:sz="4" w:space="0" w:color="000000"/>
              <w:right w:val="single" w:sz="8" w:space="0" w:color="000000"/>
            </w:tcBorders>
            <w:shd w:fill="FFFFFF" w:val="clear"/>
            <w:tcMar>
              <w:top w:w="57" w:type="dxa"/>
              <w:left w:w="57" w:type="dxa"/>
              <w:bottom w:w="57" w:type="dxa"/>
              <w:right w:w="57" w:type="dxa"/>
            </w:tcMar>
          </w:tcPr>
          <w:p>
            <w:pPr>
              <w:pStyle w:val="Normal"/>
              <w:widowControl w:val="false"/>
              <w:bidi w:val="0"/>
              <w:spacing w:lineRule="atLeast" w:line="100" w:before="60" w:after="0"/>
              <w:jc w:val="left"/>
              <w:rPr>
                <w:sz w:val="24"/>
                <w:szCs w:val="24"/>
              </w:rPr>
            </w:pPr>
            <w:r>
              <w:rPr>
                <w:rStyle w:val="Chtext"/>
                <w:rFonts w:eastAsia="Times New Roman" w:cs="Calibri"/>
                <w:b w:val="false"/>
                <w:bCs/>
                <w:i w:val="false"/>
                <w:iCs w:val="false"/>
                <w:strike w:val="false"/>
                <w:dstrike w:val="false"/>
                <w:outline w:val="false"/>
                <w:shadow w:val="false"/>
                <w:color w:val="00000A"/>
                <w:sz w:val="20"/>
                <w:szCs w:val="24"/>
                <w:u w:val="none"/>
                <w:em w:val="none"/>
                <w:lang w:val="es-ES" w:eastAsia="en-GB"/>
              </w:rPr>
              <w:t>Car Park at Carrer Jos</w:t>
            </w:r>
            <w:r>
              <w:rPr>
                <w:b w:val="false"/>
                <w:i w:val="false"/>
                <w:strike w:val="false"/>
                <w:dstrike w:val="false"/>
                <w:outline w:val="false"/>
                <w:shadow w:val="false"/>
                <w:sz w:val="20"/>
                <w:u w:val="none"/>
                <w:em w:val="none"/>
              </w:rPr>
              <w:t>é de Espronceda, opposite the ‘Moli Blanc’ Disco (White Windmill)</w:t>
            </w:r>
          </w:p>
          <w:p>
            <w:pPr>
              <w:pStyle w:val="Normal"/>
              <w:widowControl w:val="false"/>
              <w:bidi w:val="0"/>
              <w:spacing w:before="0" w:after="200"/>
              <w:jc w:val="left"/>
              <w:rPr>
                <w:sz w:val="24"/>
                <w:szCs w:val="24"/>
              </w:rPr>
            </w:pPr>
            <w:r>
              <w:rPr>
                <w:b w:val="false"/>
                <w:i w:val="false"/>
                <w:strike w:val="false"/>
                <w:dstrike w:val="false"/>
                <w:outline w:val="false"/>
                <w:shadow w:val="false"/>
                <w:sz w:val="20"/>
                <w:u w:val="none"/>
                <w:em w:val="none"/>
              </w:rPr>
              <w:t>GPS: 38°47'17.2"N 0°10'23.1"E</w:t>
            </w:r>
          </w:p>
        </w:tc>
      </w:tr>
      <w:tr>
        <w:trPr>
          <w:trHeight w:val="315" w:hRule="atLeast"/>
        </w:trPr>
        <w:tc>
          <w:tcPr>
            <w:tcW w:w="1750" w:type="dxa"/>
            <w:tcBorders>
              <w:top w:val="single" w:sz="4" w:space="0" w:color="000000"/>
              <w:left w:val="single" w:sz="8" w:space="0" w:color="000000"/>
            </w:tcBorders>
            <w:shd w:fill="FFFFFF" w:val="clear"/>
          </w:tcPr>
          <w:p>
            <w:pPr>
              <w:pStyle w:val="Tableleft"/>
              <w:widowControl w:val="false"/>
              <w:spacing w:lineRule="atLeast" w:line="100" w:before="60" w:after="0"/>
              <w:jc w:val="left"/>
              <w:rPr/>
            </w:pPr>
            <w:r>
              <w:rPr>
                <w:rStyle w:val="Chtext"/>
                <w:rFonts w:cs="Calibri" w:ascii="Calibri" w:hAnsi="Calibri"/>
                <w:b/>
                <w:bCs/>
                <w:i w:val="false"/>
                <w:iCs w:val="false"/>
                <w:color w:val="00000A"/>
                <w:sz w:val="24"/>
                <w:szCs w:val="24"/>
              </w:rPr>
              <w:t>Walking Route</w:t>
            </w:r>
          </w:p>
        </w:tc>
        <w:tc>
          <w:tcPr>
            <w:tcW w:w="2206" w:type="dxa"/>
            <w:tcBorders>
              <w:left w:val="single" w:sz="8" w:space="0" w:color="000000"/>
              <w:bottom w:val="single" w:sz="4" w:space="0" w:color="000000"/>
            </w:tcBorders>
            <w:shd w:fill="FFFFFF" w:val="clear"/>
            <w:tcMar>
              <w:top w:w="57" w:type="dxa"/>
              <w:left w:w="57" w:type="dxa"/>
              <w:bottom w:w="57" w:type="dxa"/>
              <w:right w:w="57" w:type="dxa"/>
            </w:tcMar>
          </w:tcPr>
          <w:p>
            <w:pPr>
              <w:pStyle w:val="Normal"/>
              <w:widowControl w:val="false"/>
              <w:spacing w:lineRule="atLeast" w:line="100" w:before="60" w:after="0"/>
              <w:jc w:val="left"/>
              <w:rPr/>
            </w:pPr>
            <w:r>
              <w:rPr>
                <w:rStyle w:val="Chtext"/>
                <w:rFonts w:eastAsia="Times New Roman" w:cs="Calibri"/>
                <w:b/>
                <w:bCs/>
                <w:i w:val="false"/>
                <w:iCs w:val="false"/>
                <w:color w:val="00000A"/>
                <w:sz w:val="22"/>
                <w:szCs w:val="22"/>
                <w:lang w:eastAsia="en-GB"/>
              </w:rPr>
              <w:t>Distance:</w:t>
            </w:r>
            <w:r>
              <w:rPr>
                <w:rStyle w:val="Chtext"/>
                <w:rFonts w:eastAsia="Times New Roman" w:cs="Calibri"/>
                <w:b w:val="false"/>
                <w:bCs/>
                <w:i w:val="false"/>
                <w:iCs w:val="false"/>
                <w:color w:val="00000A"/>
                <w:sz w:val="22"/>
                <w:szCs w:val="22"/>
                <w:lang w:eastAsia="en-GB"/>
              </w:rPr>
              <w:t xml:space="preserve"> 5 kms</w:t>
            </w:r>
          </w:p>
        </w:tc>
        <w:tc>
          <w:tcPr>
            <w:tcW w:w="5733" w:type="dxa"/>
            <w:tcBorders>
              <w:left w:val="single" w:sz="8" w:space="0" w:color="000000"/>
              <w:bottom w:val="single" w:sz="4" w:space="0" w:color="000000"/>
              <w:right w:val="single" w:sz="8" w:space="0" w:color="000000"/>
            </w:tcBorders>
            <w:shd w:fill="FFFFFF" w:val="clear"/>
            <w:tcMar>
              <w:top w:w="57" w:type="dxa"/>
              <w:left w:w="57" w:type="dxa"/>
              <w:bottom w:w="57" w:type="dxa"/>
              <w:right w:w="57" w:type="dxa"/>
            </w:tcMar>
          </w:tcPr>
          <w:p>
            <w:pPr>
              <w:pStyle w:val="Normal"/>
              <w:widowControl w:val="false"/>
              <w:spacing w:lineRule="atLeast" w:line="100" w:before="60" w:after="0"/>
              <w:rPr>
                <w:sz w:val="24"/>
                <w:szCs w:val="24"/>
              </w:rPr>
            </w:pPr>
            <w:r>
              <w:rPr>
                <w:rStyle w:val="Chtext"/>
                <w:rFonts w:eastAsia="Times New Roman" w:cs="Calibri"/>
                <w:b w:val="false"/>
                <w:bCs/>
                <w:i w:val="false"/>
                <w:iCs w:val="false"/>
                <w:color w:val="00000A"/>
                <w:sz w:val="24"/>
                <w:szCs w:val="24"/>
                <w:lang w:eastAsia="en-GB"/>
              </w:rPr>
              <w:t>Alongside the River Gorgos, into The Old Town and back to the river</w:t>
            </w:r>
          </w:p>
        </w:tc>
      </w:tr>
      <w:tr>
        <w:trPr>
          <w:trHeight w:val="300" w:hRule="atLeast"/>
        </w:trPr>
        <w:tc>
          <w:tcPr>
            <w:tcW w:w="1750" w:type="dxa"/>
            <w:tcBorders>
              <w:top w:val="single" w:sz="4" w:space="0" w:color="000000"/>
              <w:left w:val="single" w:sz="8" w:space="0" w:color="000000"/>
            </w:tcBorders>
            <w:shd w:fill="FFFFFF" w:val="clear"/>
          </w:tcPr>
          <w:p>
            <w:pPr>
              <w:pStyle w:val="Tableleft"/>
              <w:widowControl w:val="false"/>
              <w:spacing w:lineRule="atLeast" w:line="100" w:before="60" w:after="0"/>
              <w:jc w:val="left"/>
              <w:rPr/>
            </w:pPr>
            <w:r>
              <w:rPr>
                <w:rStyle w:val="Chtext"/>
                <w:rFonts w:cs="Calibri" w:ascii="Calibri" w:hAnsi="Calibri"/>
                <w:b/>
                <w:bCs/>
                <w:i w:val="false"/>
                <w:iCs w:val="false"/>
                <w:color w:val="00000A"/>
                <w:sz w:val="24"/>
                <w:szCs w:val="24"/>
              </w:rPr>
              <w:t>Terrain</w:t>
            </w:r>
          </w:p>
        </w:tc>
        <w:tc>
          <w:tcPr>
            <w:tcW w:w="2206" w:type="dxa"/>
            <w:tcBorders>
              <w:left w:val="single" w:sz="8" w:space="0" w:color="000000"/>
              <w:bottom w:val="single" w:sz="4" w:space="0" w:color="000000"/>
            </w:tcBorders>
            <w:shd w:fill="FFFFFF" w:val="clear"/>
            <w:tcMar>
              <w:top w:w="57" w:type="dxa"/>
              <w:left w:w="57" w:type="dxa"/>
              <w:bottom w:w="57" w:type="dxa"/>
              <w:right w:w="57" w:type="dxa"/>
            </w:tcMar>
          </w:tcPr>
          <w:p>
            <w:pPr>
              <w:pStyle w:val="Tablecentre"/>
              <w:widowControl w:val="false"/>
              <w:spacing w:lineRule="atLeast" w:line="100" w:before="60" w:after="0"/>
              <w:jc w:val="left"/>
              <w:rPr/>
            </w:pPr>
            <w:r>
              <w:rPr>
                <w:rStyle w:val="Chtext"/>
                <w:rFonts w:cs="Calibri" w:ascii="Calibri" w:hAnsi="Calibri"/>
                <w:b/>
                <w:bCs/>
                <w:i w:val="false"/>
                <w:iCs w:val="false"/>
                <w:color w:val="00000A"/>
                <w:sz w:val="22"/>
                <w:szCs w:val="22"/>
              </w:rPr>
              <w:t>Walking Surface</w:t>
            </w:r>
          </w:p>
        </w:tc>
        <w:tc>
          <w:tcPr>
            <w:tcW w:w="5733" w:type="dxa"/>
            <w:tcBorders>
              <w:left w:val="single" w:sz="4" w:space="0" w:color="000000"/>
              <w:bottom w:val="single" w:sz="4" w:space="0" w:color="000000"/>
              <w:right w:val="single" w:sz="8" w:space="0" w:color="000000"/>
            </w:tcBorders>
            <w:shd w:fill="FFFFFF" w:val="clear"/>
            <w:tcMar>
              <w:top w:w="57" w:type="dxa"/>
              <w:left w:w="57" w:type="dxa"/>
              <w:bottom w:w="57" w:type="dxa"/>
              <w:right w:w="57" w:type="dxa"/>
            </w:tcMar>
          </w:tcPr>
          <w:p>
            <w:pPr>
              <w:pStyle w:val="NoSpacing"/>
              <w:widowControl w:val="false"/>
              <w:spacing w:lineRule="atLeast" w:line="100" w:before="60" w:after="0"/>
              <w:rPr/>
            </w:pPr>
            <w:r>
              <w:rPr>
                <w:rStyle w:val="Chtext"/>
                <w:rFonts w:eastAsia="Times New Roman" w:cs="Calibri"/>
                <w:b w:val="false"/>
                <w:bCs/>
                <w:i w:val="false"/>
                <w:iCs w:val="false"/>
                <w:color w:val="00000A"/>
                <w:sz w:val="22"/>
                <w:szCs w:val="22"/>
                <w:lang w:eastAsia="en-GB"/>
              </w:rPr>
              <w:t>Mainly tarmac, some gravel paths.</w:t>
            </w:r>
          </w:p>
        </w:tc>
      </w:tr>
      <w:tr>
        <w:trPr>
          <w:trHeight w:val="300" w:hRule="atLeast"/>
        </w:trPr>
        <w:tc>
          <w:tcPr>
            <w:tcW w:w="1750" w:type="dxa"/>
            <w:tcBorders>
              <w:left w:val="single" w:sz="8" w:space="0" w:color="000000"/>
            </w:tcBorders>
            <w:shd w:fill="FFFFFF" w:val="clear"/>
          </w:tcPr>
          <w:p>
            <w:pPr>
              <w:pStyle w:val="Tableleft"/>
              <w:widowControl w:val="false"/>
              <w:snapToGrid w:val="false"/>
              <w:spacing w:lineRule="atLeast" w:line="100" w:before="60" w:after="0"/>
              <w:jc w:val="left"/>
              <w:rPr>
                <w:rFonts w:ascii="Calibri" w:hAnsi="Calibri" w:cs="Calibri"/>
                <w:i w:val="false"/>
                <w:i w:val="false"/>
                <w:iCs w:val="false"/>
                <w:sz w:val="24"/>
                <w:szCs w:val="24"/>
              </w:rPr>
            </w:pPr>
            <w:r>
              <w:rPr>
                <w:rFonts w:cs="Calibri" w:ascii="Calibri" w:hAnsi="Calibri"/>
                <w:i w:val="false"/>
                <w:iCs w:val="false"/>
                <w:sz w:val="24"/>
                <w:szCs w:val="24"/>
              </w:rPr>
            </w:r>
          </w:p>
        </w:tc>
        <w:tc>
          <w:tcPr>
            <w:tcW w:w="2206" w:type="dxa"/>
            <w:tcBorders>
              <w:left w:val="single" w:sz="8" w:space="0" w:color="000000"/>
              <w:bottom w:val="single" w:sz="4" w:space="0" w:color="000000"/>
            </w:tcBorders>
            <w:shd w:fill="FFFFFF" w:val="clear"/>
            <w:tcMar>
              <w:top w:w="57" w:type="dxa"/>
              <w:left w:w="57" w:type="dxa"/>
              <w:bottom w:w="57" w:type="dxa"/>
              <w:right w:w="57" w:type="dxa"/>
            </w:tcMar>
          </w:tcPr>
          <w:p>
            <w:pPr>
              <w:pStyle w:val="Tablecentre"/>
              <w:widowControl w:val="false"/>
              <w:spacing w:lineRule="atLeast" w:line="100" w:before="60" w:after="0"/>
              <w:jc w:val="left"/>
              <w:rPr/>
            </w:pPr>
            <w:r>
              <w:rPr>
                <w:rStyle w:val="Chtext"/>
                <w:rFonts w:cs="Calibri" w:ascii="Calibri" w:hAnsi="Calibri"/>
                <w:b/>
                <w:bCs/>
                <w:i w:val="false"/>
                <w:iCs w:val="false"/>
                <w:color w:val="00000A"/>
                <w:sz w:val="22"/>
                <w:szCs w:val="22"/>
              </w:rPr>
              <w:t>Ascent</w:t>
            </w:r>
          </w:p>
        </w:tc>
        <w:tc>
          <w:tcPr>
            <w:tcW w:w="5733" w:type="dxa"/>
            <w:tcBorders>
              <w:left w:val="single" w:sz="4" w:space="0" w:color="000000"/>
              <w:bottom w:val="single" w:sz="4" w:space="0" w:color="000000"/>
              <w:right w:val="single" w:sz="8" w:space="0" w:color="000000"/>
            </w:tcBorders>
            <w:shd w:fill="FFFFFF" w:val="clear"/>
            <w:tcMar>
              <w:top w:w="57" w:type="dxa"/>
              <w:left w:w="57" w:type="dxa"/>
              <w:bottom w:w="57" w:type="dxa"/>
              <w:right w:w="57" w:type="dxa"/>
            </w:tcMar>
          </w:tcPr>
          <w:p>
            <w:pPr>
              <w:pStyle w:val="NoSpacing"/>
              <w:widowControl w:val="false"/>
              <w:spacing w:lineRule="atLeast" w:line="100" w:before="60" w:after="0"/>
              <w:rPr/>
            </w:pPr>
            <w:r>
              <w:rPr>
                <w:rStyle w:val="Chtext"/>
                <w:rFonts w:eastAsia="Times New Roman" w:cs="Calibri"/>
                <w:b w:val="false"/>
                <w:bCs w:val="false"/>
                <w:i w:val="false"/>
                <w:iCs w:val="false"/>
                <w:color w:val="000000"/>
                <w:spacing w:val="0"/>
                <w:kern w:val="2"/>
                <w:sz w:val="22"/>
                <w:szCs w:val="22"/>
                <w:lang w:val="en-US" w:eastAsia="en-US"/>
              </w:rPr>
              <w:t>Negligible</w:t>
            </w:r>
          </w:p>
        </w:tc>
      </w:tr>
      <w:tr>
        <w:trPr>
          <w:trHeight w:val="300" w:hRule="atLeast"/>
        </w:trPr>
        <w:tc>
          <w:tcPr>
            <w:tcW w:w="1750" w:type="dxa"/>
            <w:tcBorders>
              <w:left w:val="single" w:sz="8" w:space="0" w:color="000000"/>
            </w:tcBorders>
            <w:shd w:fill="FFFFFF" w:val="clear"/>
          </w:tcPr>
          <w:p>
            <w:pPr>
              <w:pStyle w:val="Tableleft"/>
              <w:widowControl w:val="false"/>
              <w:snapToGrid w:val="false"/>
              <w:spacing w:lineRule="atLeast" w:line="100" w:before="60" w:after="0"/>
              <w:jc w:val="left"/>
              <w:rPr>
                <w:rFonts w:ascii="Calibri" w:hAnsi="Calibri" w:cs="Calibri"/>
                <w:i w:val="false"/>
                <w:i w:val="false"/>
                <w:iCs w:val="false"/>
                <w:sz w:val="24"/>
                <w:szCs w:val="24"/>
              </w:rPr>
            </w:pPr>
            <w:r>
              <w:rPr>
                <w:rFonts w:cs="Calibri" w:ascii="Calibri" w:hAnsi="Calibri"/>
                <w:i w:val="false"/>
                <w:iCs w:val="false"/>
                <w:sz w:val="24"/>
                <w:szCs w:val="24"/>
              </w:rPr>
            </w:r>
          </w:p>
        </w:tc>
        <w:tc>
          <w:tcPr>
            <w:tcW w:w="2206" w:type="dxa"/>
            <w:tcBorders>
              <w:left w:val="single" w:sz="8" w:space="0" w:color="000000"/>
              <w:bottom w:val="single" w:sz="4" w:space="0" w:color="000000"/>
            </w:tcBorders>
            <w:shd w:fill="FFFFFF" w:val="clear"/>
            <w:tcMar>
              <w:top w:w="57" w:type="dxa"/>
              <w:left w:w="57" w:type="dxa"/>
              <w:bottom w:w="57" w:type="dxa"/>
              <w:right w:w="57" w:type="dxa"/>
            </w:tcMar>
          </w:tcPr>
          <w:p>
            <w:pPr>
              <w:pStyle w:val="Tablecentre"/>
              <w:widowControl w:val="false"/>
              <w:spacing w:lineRule="atLeast" w:line="100" w:before="60" w:after="0"/>
              <w:jc w:val="left"/>
              <w:rPr/>
            </w:pPr>
            <w:r>
              <w:rPr>
                <w:rStyle w:val="Chtext"/>
                <w:rFonts w:cs="Calibri" w:ascii="Calibri" w:hAnsi="Calibri"/>
                <w:b/>
                <w:bCs/>
                <w:i w:val="false"/>
                <w:iCs w:val="false"/>
                <w:color w:val="00000A"/>
                <w:sz w:val="22"/>
                <w:szCs w:val="22"/>
              </w:rPr>
              <w:t>Duration</w:t>
            </w:r>
          </w:p>
        </w:tc>
        <w:tc>
          <w:tcPr>
            <w:tcW w:w="5733" w:type="dxa"/>
            <w:tcBorders>
              <w:left w:val="single" w:sz="4" w:space="0" w:color="000000"/>
              <w:bottom w:val="single" w:sz="4" w:space="0" w:color="000000"/>
              <w:right w:val="single" w:sz="8" w:space="0" w:color="000000"/>
            </w:tcBorders>
            <w:shd w:fill="FFFFFF" w:val="clear"/>
            <w:tcMar>
              <w:top w:w="57" w:type="dxa"/>
              <w:left w:w="57" w:type="dxa"/>
              <w:bottom w:w="57" w:type="dxa"/>
              <w:right w:w="57" w:type="dxa"/>
            </w:tcMar>
          </w:tcPr>
          <w:p>
            <w:pPr>
              <w:pStyle w:val="Normal"/>
              <w:widowControl w:val="false"/>
              <w:suppressAutoHyphens w:val="true"/>
              <w:bidi w:val="0"/>
              <w:spacing w:lineRule="atLeast" w:line="100" w:before="60" w:after="0"/>
              <w:ind w:left="0" w:right="-135" w:hanging="0"/>
              <w:rPr/>
            </w:pPr>
            <w:r>
              <w:rPr>
                <w:rStyle w:val="Chtext"/>
                <w:rFonts w:eastAsia="Times New Roman" w:cs="Calibri"/>
                <w:b w:val="false"/>
                <w:bCs w:val="false"/>
                <w:i w:val="false"/>
                <w:iCs w:val="false"/>
                <w:color w:val="00000A"/>
                <w:sz w:val="22"/>
                <w:szCs w:val="22"/>
                <w:lang w:eastAsia="en-GB"/>
              </w:rPr>
              <w:t>1 hour  20 min + stops</w:t>
            </w:r>
          </w:p>
        </w:tc>
      </w:tr>
      <w:tr>
        <w:trPr>
          <w:trHeight w:val="330" w:hRule="atLeast"/>
        </w:trPr>
        <w:tc>
          <w:tcPr>
            <w:tcW w:w="1750" w:type="dxa"/>
            <w:tcBorders>
              <w:top w:val="single" w:sz="4" w:space="0" w:color="000000"/>
              <w:left w:val="single" w:sz="8" w:space="0" w:color="000000"/>
              <w:bottom w:val="single" w:sz="8" w:space="0" w:color="000000"/>
            </w:tcBorders>
            <w:shd w:fill="FFFFFF" w:val="clear"/>
          </w:tcPr>
          <w:p>
            <w:pPr>
              <w:pStyle w:val="Tableleft"/>
              <w:widowControl w:val="false"/>
              <w:spacing w:lineRule="atLeast" w:line="100" w:before="60" w:after="0"/>
              <w:jc w:val="left"/>
              <w:rPr/>
            </w:pPr>
            <w:r>
              <w:rPr>
                <w:rStyle w:val="Chtext"/>
                <w:rFonts w:cs="Calibri" w:ascii="Calibri" w:hAnsi="Calibri"/>
                <w:b/>
                <w:bCs/>
                <w:i w:val="false"/>
                <w:iCs w:val="false"/>
                <w:color w:val="00000A"/>
                <w:sz w:val="24"/>
                <w:szCs w:val="24"/>
              </w:rPr>
              <w:t>Directions</w:t>
              <w:br/>
              <w:t>to meeting point</w:t>
            </w:r>
          </w:p>
        </w:tc>
        <w:tc>
          <w:tcPr>
            <w:tcW w:w="7939" w:type="dxa"/>
            <w:gridSpan w:val="2"/>
            <w:tcBorders>
              <w:left w:val="single" w:sz="8" w:space="0" w:color="000000"/>
              <w:bottom w:val="single" w:sz="8" w:space="0" w:color="000000"/>
              <w:right w:val="single" w:sz="8" w:space="0" w:color="000000"/>
            </w:tcBorders>
            <w:shd w:fill="FFFFFF" w:val="clear"/>
            <w:tcMar>
              <w:top w:w="57" w:type="dxa"/>
              <w:left w:w="57" w:type="dxa"/>
              <w:bottom w:w="57" w:type="dxa"/>
              <w:right w:w="57" w:type="dxa"/>
            </w:tcMar>
          </w:tcPr>
          <w:p>
            <w:pPr>
              <w:pStyle w:val="Normal"/>
              <w:widowControl w:val="false"/>
              <w:snapToGrid w:val="false"/>
              <w:spacing w:lineRule="auto" w:line="240" w:before="0" w:after="0"/>
              <w:rPr/>
            </w:pPr>
            <w:r>
              <w:rPr>
                <w:rStyle w:val="Chtext"/>
                <w:rFonts w:cs="Calibri"/>
                <w:b/>
                <w:bCs/>
                <w:i/>
                <w:iCs/>
                <w:color w:val="00000A"/>
                <w:sz w:val="22"/>
                <w:szCs w:val="22"/>
                <w:lang w:val="en-GB"/>
              </w:rPr>
              <w:t>From Moraira:</w:t>
            </w:r>
          </w:p>
          <w:p>
            <w:pPr>
              <w:pStyle w:val="NoSpacing"/>
              <w:widowControl w:val="false"/>
              <w:snapToGrid w:val="false"/>
              <w:spacing w:lineRule="auto" w:line="240" w:before="0" w:after="0"/>
              <w:rPr/>
            </w:pPr>
            <w:r>
              <w:rPr>
                <w:rStyle w:val="Chtext"/>
                <w:rFonts w:eastAsia="Times New Roman" w:cs="Calibri"/>
                <w:b w:val="false"/>
                <w:bCs/>
                <w:i w:val="false"/>
                <w:iCs w:val="false"/>
                <w:color w:val="00000A"/>
                <w:sz w:val="22"/>
                <w:szCs w:val="22"/>
                <w:lang w:val="en-GB" w:eastAsia="en-GB"/>
              </w:rPr>
              <w:t xml:space="preserve">Drive up to Benitachell, turn right at the traffic lights and take the main road to Javea.  </w:t>
            </w:r>
            <w:r>
              <w:rPr>
                <w:rStyle w:val="Chtext"/>
                <w:rFonts w:eastAsia="Times New Roman" w:cs="Calibri"/>
                <w:b w:val="false"/>
                <w:bCs/>
                <w:i w:val="false"/>
                <w:iCs w:val="false"/>
                <w:color w:val="00000A"/>
                <w:sz w:val="20"/>
                <w:szCs w:val="20"/>
                <w:lang w:val="en-GB" w:eastAsia="en-GB"/>
              </w:rPr>
              <w:t>At the ‘Ferrobox’ roundabout</w:t>
            </w:r>
            <w:r>
              <w:rPr>
                <w:rStyle w:val="Chtext"/>
                <w:rFonts w:eastAsia="Times New Roman" w:cs="Calibri"/>
                <w:b w:val="false"/>
                <w:bCs/>
                <w:i w:val="false"/>
                <w:iCs w:val="false"/>
                <w:strike w:val="false"/>
                <w:dstrike w:val="false"/>
                <w:outline w:val="false"/>
                <w:shadow w:val="false"/>
                <w:color w:val="auto"/>
                <w:sz w:val="20"/>
                <w:szCs w:val="20"/>
                <w:u w:val="none"/>
                <w:em w:val="none"/>
                <w:lang w:val="en-GB" w:eastAsia="en-GB"/>
              </w:rPr>
              <w:t xml:space="preserve">(CV734) </w:t>
            </w:r>
            <w:r>
              <w:rPr>
                <w:rStyle w:val="Chtext"/>
                <w:rFonts w:eastAsia="Times New Roman" w:cs="Calibri"/>
                <w:b w:val="false"/>
                <w:bCs/>
                <w:i w:val="false"/>
                <w:iCs w:val="false"/>
                <w:color w:val="00000A"/>
                <w:sz w:val="20"/>
                <w:szCs w:val="20"/>
                <w:lang w:val="en-GB" w:eastAsia="en-GB"/>
              </w:rPr>
              <w:t xml:space="preserve"> turn right for Javea.</w:t>
            </w:r>
            <w:r>
              <w:rPr>
                <w:rStyle w:val="Chtext"/>
                <w:rFonts w:eastAsia="Times New Roman" w:cs="Calibri"/>
                <w:b w:val="false"/>
                <w:bCs/>
                <w:i w:val="false"/>
                <w:iCs w:val="false"/>
                <w:color w:val="00000A"/>
                <w:sz w:val="22"/>
                <w:szCs w:val="22"/>
                <w:lang w:val="en-GB" w:eastAsia="en-GB"/>
              </w:rPr>
              <w:t xml:space="preserve">  Go straight on calle Antonio -  avenida Palmela at all roundabouts and traffic lights until seeing the Lidl signs on the right.  Turn right at this roundabout,</w:t>
            </w:r>
            <w:r>
              <w:rPr>
                <w:b w:val="false"/>
                <w:i w:val="false"/>
                <w:strike w:val="false"/>
                <w:dstrike w:val="false"/>
                <w:outline w:val="false"/>
                <w:shadow w:val="false"/>
                <w:color w:val="auto"/>
                <w:sz w:val="22"/>
                <w:szCs w:val="22"/>
                <w:u w:val="none"/>
                <w:em w:val="none"/>
              </w:rPr>
              <w:t xml:space="preserve">  go past the Lidl entrance and straight on at the next roundabout, then turning at Carrer José de Espronceda, immediately right into the carpark below the Euro Market and opposite the Moli Blanc Disco across the road.</w:t>
            </w:r>
          </w:p>
        </w:tc>
      </w:tr>
    </w:tbl>
    <w:p>
      <w:pPr>
        <w:pStyle w:val="Normal"/>
        <w:rPr>
          <w:b/>
          <w:b/>
          <w:sz w:val="24"/>
          <w:szCs w:val="24"/>
        </w:rPr>
      </w:pPr>
      <w:r>
        <w:rPr>
          <w:b w:val="false"/>
          <w:bCs w:val="false"/>
          <w:sz w:val="16"/>
          <w:szCs w:val="16"/>
        </w:rPr>
        <w:t xml:space="preserve"> </w:t>
      </w:r>
      <w:r>
        <w:rPr>
          <w:b w:val="false"/>
          <w:bCs w:val="false"/>
          <w:sz w:val="16"/>
          <w:szCs w:val="16"/>
        </w:rPr>
        <w:t>U3A javea  health walks Clive &amp; Karen</w:t>
        <w:tab/>
        <w:tab/>
        <w:tab/>
        <w:tab/>
        <w:tab/>
        <w:tab/>
        <w:tab/>
        <w:t xml:space="preserve">Brian &amp; Noelene/ </w:t>
      </w:r>
      <w:r>
        <w:rPr>
          <w:b w:val="false"/>
          <w:bCs w:val="false"/>
          <w:sz w:val="16"/>
          <w:szCs w:val="16"/>
        </w:rPr>
        <w:t>Peter Holley</w:t>
      </w:r>
    </w:p>
    <w:p>
      <w:pPr>
        <w:pStyle w:val="NoSpacing"/>
        <w:rPr>
          <w:b/>
          <w:b/>
          <w:bCs/>
        </w:rPr>
      </w:pPr>
      <w:r>
        <w:rPr>
          <w:b/>
          <w:bCs/>
        </w:rPr>
        <w:t>Walk Directions:</w:t>
      </w:r>
    </w:p>
    <w:p>
      <w:pPr>
        <w:pStyle w:val="NoSpacing"/>
        <w:rPr/>
      </w:pPr>
      <w:r>
        <w:rPr/>
      </w:r>
    </w:p>
    <w:p>
      <w:pPr>
        <w:pStyle w:val="NoSpacing"/>
        <w:numPr>
          <w:ilvl w:val="0"/>
          <w:numId w:val="1"/>
        </w:numPr>
        <w:rPr/>
      </w:pPr>
      <w:r>
        <w:rPr/>
        <w:t xml:space="preserve">From the car park take the road (Garcilaso de la Vega) to the left of the shopping centre for 30m      and then take the gravel path to the left.  This path has the River Gorgos on the left and a ‘Doggy      Park’ on the right.  Turn right when you meet the heavily graffited derelict building and walk to      the road.                                                                                      </w:t>
      </w:r>
    </w:p>
    <w:p>
      <w:pPr>
        <w:pStyle w:val="NoSpacing"/>
        <w:numPr>
          <w:ilvl w:val="0"/>
          <w:numId w:val="0"/>
        </w:numPr>
        <w:ind w:left="919" w:hanging="0"/>
        <w:rPr/>
      </w:pPr>
      <w:r>
        <w:rPr/>
      </w:r>
    </w:p>
    <w:p>
      <w:pPr>
        <w:pStyle w:val="NoSpacing"/>
        <w:numPr>
          <w:ilvl w:val="0"/>
          <w:numId w:val="1"/>
        </w:numPr>
        <w:rPr/>
      </w:pPr>
      <w:r>
        <w:rPr/>
        <w:t xml:space="preserve">Turn left along the road, past the new apartments on the left, and then left again down to the       riverbed which you cross on the concrete causeway and turn sharp right onto the road.     </w:t>
      </w:r>
      <w:r>
        <w:rPr>
          <w:b/>
        </w:rPr>
        <w:t xml:space="preserve">WARNING:  </w:t>
      </w:r>
      <w:r>
        <w:rPr/>
        <w:t>This road is narrow with a drop to the river on the right.  Keep to the LEFT and watch     out for occasional fast moving traffic.</w:t>
      </w:r>
    </w:p>
    <w:p>
      <w:pPr>
        <w:pStyle w:val="NoSpacing"/>
        <w:numPr>
          <w:ilvl w:val="0"/>
          <w:numId w:val="0"/>
        </w:numPr>
        <w:ind w:left="919" w:hanging="0"/>
        <w:rPr/>
      </w:pPr>
      <w:r>
        <w:rPr/>
      </w:r>
    </w:p>
    <w:p>
      <w:pPr>
        <w:pStyle w:val="NoSpacing"/>
        <w:numPr>
          <w:ilvl w:val="0"/>
          <w:numId w:val="1"/>
        </w:numPr>
        <w:rPr/>
      </w:pPr>
      <w:r>
        <w:rPr/>
        <w:t>Walk past the high wall of the desalination plant (takes water from deep wells – not from the sea)     and continue to the roundabout at the 16</w:t>
      </w:r>
      <w:r>
        <w:rPr>
          <w:vertAlign w:val="superscript"/>
        </w:rPr>
        <w:t>th</w:t>
      </w:r>
      <w:r>
        <w:rPr/>
        <w:t>Century bridge over the Gorgos.  Continue along the     left side of the river, past the remains of the ‘Torre Torroner’, now protected by a concrete wall     having been mostly destroyed in the 2007 floods.</w:t>
      </w:r>
    </w:p>
    <w:p>
      <w:pPr>
        <w:pStyle w:val="NoSpacing"/>
        <w:numPr>
          <w:ilvl w:val="0"/>
          <w:numId w:val="0"/>
        </w:numPr>
        <w:ind w:left="919" w:hanging="0"/>
        <w:rPr/>
      </w:pPr>
      <w:r>
        <w:rPr/>
      </w:r>
    </w:p>
    <w:p>
      <w:pPr>
        <w:pStyle w:val="Normal"/>
        <w:numPr>
          <w:ilvl w:val="0"/>
          <w:numId w:val="1"/>
        </w:numPr>
        <w:rPr/>
      </w:pPr>
      <w:r>
        <w:rPr>
          <w:rFonts w:ascii="Calibri" w:hAnsi="Calibri"/>
          <w:b w:val="false"/>
          <w:i w:val="false"/>
          <w:caps w:val="false"/>
          <w:smallCaps w:val="false"/>
          <w:color w:val="auto"/>
          <w:spacing w:val="0"/>
          <w:kern w:val="0"/>
          <w:sz w:val="22"/>
          <w:szCs w:val="22"/>
          <w:u w:val="none"/>
        </w:rPr>
        <w:t>Continue along the left side of the river, past another ford. The road beyond here used to be barred to vehicles (the road being washed away in the 2007 floods), but has since been reconstructed. Continue alongside the road with the river on your right hand side.</w:t>
      </w:r>
    </w:p>
    <w:p>
      <w:pPr>
        <w:pStyle w:val="NoSpacing"/>
        <w:numPr>
          <w:ilvl w:val="0"/>
          <w:numId w:val="1"/>
        </w:numPr>
        <w:rPr/>
      </w:pPr>
      <w:r>
        <w:rPr/>
        <w:t>Shortly the path widens and reaches the next river crossing.  Turn sharp right here, over the concrete causeway and up the road (Cami de les Sortetes) heading for the Old Town.  From here there are great views of the town and the windmills on the hillside above. Pass a bodega on the right and then reach a cross-roads (Cami de les Sorts), but carry on up the slight hill to the town, passing under the bridge carrying the main road to the port.</w:t>
      </w:r>
    </w:p>
    <w:p>
      <w:pPr>
        <w:pStyle w:val="NoSpacing"/>
        <w:numPr>
          <w:ilvl w:val="0"/>
          <w:numId w:val="0"/>
        </w:numPr>
        <w:ind w:left="919" w:hanging="0"/>
        <w:rPr/>
      </w:pPr>
      <w:r>
        <w:rPr/>
      </w:r>
    </w:p>
    <w:p>
      <w:pPr>
        <w:pStyle w:val="Normal"/>
        <w:numPr>
          <w:ilvl w:val="0"/>
          <w:numId w:val="1"/>
        </w:numPr>
        <w:rPr/>
      </w:pPr>
      <w:r>
        <w:rPr>
          <w:rFonts w:ascii="Calibri" w:hAnsi="Calibri"/>
          <w:b w:val="false"/>
          <w:color w:val="auto"/>
          <w:spacing w:val="0"/>
          <w:kern w:val="0"/>
          <w:sz w:val="22"/>
          <w:szCs w:val="22"/>
          <w:u w:val="none"/>
        </w:rPr>
        <w:t xml:space="preserve">Shortly after passing under the bridge there is an small open area with an aluminium dealer with a large sign on a building to the right hand side of this area. Turn right immediately at the corner of this building into Carrera la Font. </w:t>
        <w:br/>
      </w:r>
      <w:r>
        <w:rPr>
          <w:rFonts w:ascii="Calibri" w:hAnsi="Calibri"/>
          <w:b w:val="false"/>
          <w:i w:val="false"/>
          <w:caps w:val="false"/>
          <w:smallCaps w:val="false"/>
          <w:color w:val="auto"/>
          <w:spacing w:val="0"/>
          <w:kern w:val="0"/>
          <w:sz w:val="22"/>
          <w:szCs w:val="22"/>
          <w:u w:val="none"/>
        </w:rPr>
        <w:t>At the end of Carrera la Font turn left and you can see the main square ahead. Cross over the road and into the square where those who wish to can stop for coffee.</w:t>
      </w:r>
    </w:p>
    <w:p>
      <w:pPr>
        <w:pStyle w:val="NoSpacing"/>
        <w:numPr>
          <w:ilvl w:val="0"/>
          <w:numId w:val="0"/>
        </w:numPr>
        <w:ind w:left="919" w:hanging="0"/>
        <w:rPr/>
      </w:pPr>
      <w:r>
        <w:rPr/>
        <w:t xml:space="preserve">WALKERS WHO DO NOT WANT TO STOP FOR COFFEE WILL BE GIVEN WRITTEN INSTRUCTIONS WITH THE ROUTE BACK TO THE PARKING. </w:t>
      </w:r>
    </w:p>
    <w:p>
      <w:pPr>
        <w:pStyle w:val="NoSpacing"/>
        <w:numPr>
          <w:ilvl w:val="0"/>
          <w:numId w:val="0"/>
        </w:numPr>
        <w:ind w:left="919" w:hanging="0"/>
        <w:rPr/>
      </w:pPr>
      <w:r>
        <w:rPr/>
      </w:r>
    </w:p>
    <w:p>
      <w:pPr>
        <w:pStyle w:val="NoSpacing"/>
        <w:numPr>
          <w:ilvl w:val="0"/>
          <w:numId w:val="1"/>
        </w:numPr>
        <w:rPr/>
      </w:pPr>
      <w:r>
        <w:rPr/>
        <w:t xml:space="preserve">At the end of the square on the left is a bar – ‘La Yesca’, take the pedestrian street directly      opposite, Carrer  Metge Gonzalez.  Go all the way up this street, passing the new town hall and      library on the right, eventually reaching a square (Placa de Baix) and straight ahead is the Casa de      Culture, turn right here. </w:t>
      </w:r>
    </w:p>
    <w:p>
      <w:pPr>
        <w:pStyle w:val="NoSpacing"/>
        <w:numPr>
          <w:ilvl w:val="0"/>
          <w:numId w:val="0"/>
        </w:numPr>
        <w:ind w:left="919" w:hanging="0"/>
        <w:rPr/>
      </w:pPr>
      <w:r>
        <w:rPr/>
      </w:r>
    </w:p>
    <w:p>
      <w:pPr>
        <w:pStyle w:val="Normal"/>
        <w:numPr>
          <w:ilvl w:val="0"/>
          <w:numId w:val="1"/>
        </w:numPr>
        <w:rPr/>
      </w:pPr>
      <w:r>
        <w:rPr>
          <w:rFonts w:ascii="Calibri" w:hAnsi="Calibri"/>
          <w:b w:val="false"/>
          <w:i w:val="false"/>
          <w:caps w:val="false"/>
          <w:smallCaps w:val="false"/>
          <w:color w:val="auto"/>
          <w:spacing w:val="0"/>
          <w:kern w:val="0"/>
          <w:sz w:val="22"/>
          <w:szCs w:val="22"/>
          <w:u w:val="none"/>
        </w:rPr>
        <w:t>This narrow pedestrian street is lined with plants on both sides. At the end of the street turn right and walk down to the road. Cross the road at the end and go down past the pedestrian area on your left and the police station to your right. Continue past the underground car park on your left. Continue down the hill until reaching the traffic lights on Avda Palmela.</w:t>
      </w:r>
    </w:p>
    <w:p>
      <w:pPr>
        <w:pStyle w:val="NoSpacing"/>
        <w:numPr>
          <w:ilvl w:val="0"/>
          <w:numId w:val="1"/>
        </w:numPr>
        <w:rPr/>
      </w:pPr>
      <w:r>
        <w:rPr/>
        <w:t>Go straight across at the lights, passing the primary school on your left.  In the distance you will     see the new light-grey apartments you passed near the beginning of the walk.  Turn left here and     continue along the road to the parking.</w:t>
      </w:r>
    </w:p>
    <w:p>
      <w:pPr>
        <w:pStyle w:val="NoSpacing"/>
        <w:numPr>
          <w:ilvl w:val="0"/>
          <w:numId w:val="0"/>
        </w:numPr>
        <w:ind w:left="919" w:hanging="0"/>
        <w:rPr/>
      </w:pPr>
      <w:r>
        <w:rPr/>
      </w:r>
    </w:p>
    <w:p>
      <w:pPr>
        <w:pStyle w:val="NoSpacing"/>
        <w:rPr/>
      </w:pPr>
      <w:r>
        <w:rPr/>
      </w:r>
    </w:p>
    <w:p>
      <w:pPr>
        <w:pStyle w:val="NoSpacing"/>
        <w:rPr/>
      </w:pPr>
      <w:r>
        <w:rPr/>
      </w:r>
    </w:p>
    <w:p>
      <w:pPr>
        <w:pStyle w:val="NoSpacing"/>
        <w:rPr/>
      </w:pPr>
      <w:r>
        <w:rPr/>
      </w:r>
    </w:p>
    <w:p>
      <w:pPr>
        <w:pStyle w:val="NoSpacing"/>
        <w:rPr/>
      </w:pPr>
      <w:r>
        <w:rPr/>
      </w:r>
      <w:r>
        <w:br w:type="page"/>
      </w:r>
    </w:p>
    <w:p>
      <w:pPr>
        <w:pStyle w:val="NoSpacing"/>
        <w:rPr/>
      </w:pPr>
      <w:r>
        <w:rPr/>
        <mc:AlternateContent>
          <mc:Choice Requires="wps">
            <w:drawing>
              <wp:anchor behindDoc="0" distT="0" distB="0" distL="0" distR="0" simplePos="0" locked="0" layoutInCell="0" allowOverlap="1" relativeHeight="2">
                <wp:simplePos x="0" y="0"/>
                <wp:positionH relativeFrom="column">
                  <wp:posOffset>-739140</wp:posOffset>
                </wp:positionH>
                <wp:positionV relativeFrom="paragraph">
                  <wp:align>top</wp:align>
                </wp:positionV>
                <wp:extent cx="7834630" cy="6668135"/>
                <wp:effectExtent l="0" t="0" r="0" b="0"/>
                <wp:wrapSquare wrapText="largest"/>
                <wp:docPr id="1" name="Image1"/>
                <a:graphic xmlns:a="http://schemas.openxmlformats.org/drawingml/2006/main">
                  <a:graphicData uri="http://schemas.openxmlformats.org/drawingml/2006/picture">
                    <pic:pic xmlns:pic="http://schemas.openxmlformats.org/drawingml/2006/picture">
                      <pic:nvPicPr>
                        <pic:cNvPr id="0" name="Image1" descr=""/>
                        <pic:cNvPicPr/>
                      </pic:nvPicPr>
                      <pic:blipFill>
                        <a:blip r:embed="rId2"/>
                        <a:stretch/>
                      </pic:blipFill>
                      <pic:spPr>
                        <a:xfrm rot="16200000">
                          <a:off x="0" y="0"/>
                          <a:ext cx="7833960" cy="6667560"/>
                        </a:xfrm>
                        <a:prstGeom prst="rect">
                          <a:avLst/>
                        </a:prstGeom>
                        <a:ln w="0">
                          <a:noFill/>
                        </a:ln>
                      </pic:spPr>
                    </pic:pic>
                  </a:graphicData>
                </a:graphic>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Image1" stroked="f" o:allowincell="f" style="position:absolute;margin-left:-58.2pt;margin-top:45.9pt;width:616.8pt;height:524.95pt;mso-wrap-style:none;v-text-anchor:middle;rotation:270;mso-position-vertical:top" type="_x0000_t75">
                <v:imagedata r:id="rId2" o:detectmouseclick="t"/>
                <v:stroke color="#3465a4" joinstyle="round" endcap="flat"/>
                <w10:wrap type="square" side="largest"/>
              </v:shape>
            </w:pict>
          </mc:Fallback>
        </mc:AlternateContent>
      </w:r>
    </w:p>
    <w:sectPr>
      <w:headerReference w:type="default" r:id="rId3"/>
      <w:type w:val="nextPage"/>
      <w:pgSz w:w="11906" w:h="16838"/>
      <w:pgMar w:left="1080" w:right="1001" w:gutter="0" w:header="480" w:top="1268" w:footer="0" w:bottom="144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1"/>
    <w:family w:val="swiss"/>
    <w:pitch w:val="default"/>
  </w:font>
  <w:font w:name="Arial">
    <w:charset w:val="01"/>
    <w:family w:val="swiss"/>
    <w:pitch w:val="default"/>
  </w:font>
  <w:font w:name="Calibri">
    <w:charset w:val="01"/>
    <w:family w:val="swiss"/>
    <w:pitch w:val="variable"/>
  </w:font>
</w:font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widowControl/>
      <w:suppressLineNumbers/>
      <w:tabs>
        <w:tab w:val="clear" w:pos="4732"/>
        <w:tab w:val="clear" w:pos="9465"/>
        <w:tab w:val="center" w:pos="4513" w:leader="none"/>
      </w:tabs>
      <w:suppressAutoHyphens w:val="true"/>
      <w:bidi w:val="0"/>
      <w:spacing w:lineRule="atLeast" w:line="100" w:before="60" w:after="0"/>
      <w:ind w:left="0" w:right="-105" w:hanging="0"/>
      <w:rPr>
        <w:rFonts w:ascii="Arial" w:hAnsi="Arial" w:cs="Arial"/>
        <w:sz w:val="18"/>
        <w:szCs w:val="18"/>
      </w:rPr>
    </w:pPr>
    <w:r>
      <w:rPr>
        <w:rFonts w:cs="Arial" w:ascii="Arial" w:hAnsi="Arial"/>
        <w:sz w:val="18"/>
        <w:szCs w:val="18"/>
      </w:rPr>
      <w:t>U3A  Teulada-Moraira</w:t>
      <w:tab/>
      <w:t xml:space="preserve">          Health Walks</w:t>
    </w:r>
  </w:p>
  <w:p>
    <w:pPr>
      <w:pStyle w:val="Header"/>
      <w:tabs>
        <w:tab w:val="clear" w:pos="4732"/>
        <w:tab w:val="clear" w:pos="9465"/>
        <w:tab w:val="center" w:pos="4513" w:leader="none"/>
        <w:tab w:val="right" w:pos="9639" w:leader="none"/>
      </w:tabs>
      <w:spacing w:lineRule="atLeast" w:line="100" w:before="60" w:after="0"/>
      <w:jc w:val="right"/>
      <w:rPr/>
    </w:pPr>
    <w:r>
      <w:rPr>
        <w:rFonts w:cs="Arial" w:ascii="Arial" w:hAnsi="Arial"/>
        <w:b/>
        <w:bCs/>
        <w:sz w:val="18"/>
        <w:szCs w:val="18"/>
      </w:rPr>
      <w:fldChar w:fldCharType="begin" w:fldLock="true"/>
    </w:r>
    <w:r>
      <w:rPr>
        <w:sz w:val="18"/>
        <w:b/>
        <w:szCs w:val="18"/>
        <w:bCs/>
        <w:rFonts w:cs="Arial" w:ascii="Arial" w:hAnsi="Arial"/>
      </w:rPr>
      <w:instrText> DATE \@"d\ MMM\ yyyy" </w:instrText>
    </w:r>
    <w:r>
      <w:rPr>
        <w:sz w:val="18"/>
        <w:b/>
        <w:szCs w:val="18"/>
        <w:bCs/>
        <w:rFonts w:cs="Arial" w:ascii="Arial" w:hAnsi="Arial"/>
      </w:rPr>
      <w:fldChar w:fldCharType="separate"/>
    </w:r>
    <w:r>
      <w:rPr>
        <w:sz w:val="18"/>
        <w:b/>
        <w:szCs w:val="18"/>
        <w:bCs/>
        <w:rFonts w:cs="Arial" w:ascii="Arial" w:hAnsi="Arial"/>
      </w:rPr>
      <w:t>20 Mar 2022</w:t>
    </w:r>
    <w:r>
      <w:rPr>
        <w:sz w:val="18"/>
        <w:b/>
        <w:szCs w:val="18"/>
        <w:bCs/>
        <w:rFonts w:cs="Arial" w:ascii="Arial" w:hAnsi="Arial"/>
      </w:rPr>
      <w:fldChar w:fldCharType="end"/>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919"/>
        </w:tabs>
        <w:ind w:left="919" w:hanging="360"/>
      </w:pPr>
    </w:lvl>
    <w:lvl w:ilvl="1">
      <w:start w:val="1"/>
      <w:numFmt w:val="decimal"/>
      <w:lvlText w:val="%2."/>
      <w:lvlJc w:val="left"/>
      <w:pPr>
        <w:tabs>
          <w:tab w:val="num" w:pos="1279"/>
        </w:tabs>
        <w:ind w:left="1279" w:hanging="360"/>
      </w:pPr>
    </w:lvl>
    <w:lvl w:ilvl="2">
      <w:start w:val="1"/>
      <w:numFmt w:val="decimal"/>
      <w:lvlText w:val="%3."/>
      <w:lvlJc w:val="left"/>
      <w:pPr>
        <w:tabs>
          <w:tab w:val="num" w:pos="1639"/>
        </w:tabs>
        <w:ind w:left="1639" w:hanging="360"/>
      </w:pPr>
    </w:lvl>
    <w:lvl w:ilvl="3">
      <w:start w:val="1"/>
      <w:numFmt w:val="decimal"/>
      <w:lvlText w:val="%4."/>
      <w:lvlJc w:val="left"/>
      <w:pPr>
        <w:tabs>
          <w:tab w:val="num" w:pos="1999"/>
        </w:tabs>
        <w:ind w:left="1999" w:hanging="360"/>
      </w:pPr>
    </w:lvl>
    <w:lvl w:ilvl="4">
      <w:start w:val="1"/>
      <w:numFmt w:val="decimal"/>
      <w:lvlText w:val="%5."/>
      <w:lvlJc w:val="left"/>
      <w:pPr>
        <w:tabs>
          <w:tab w:val="num" w:pos="2359"/>
        </w:tabs>
        <w:ind w:left="2359" w:hanging="360"/>
      </w:pPr>
    </w:lvl>
    <w:lvl w:ilvl="5">
      <w:start w:val="1"/>
      <w:numFmt w:val="decimal"/>
      <w:lvlText w:val="%6."/>
      <w:lvlJc w:val="left"/>
      <w:pPr>
        <w:tabs>
          <w:tab w:val="num" w:pos="2719"/>
        </w:tabs>
        <w:ind w:left="2719" w:hanging="360"/>
      </w:pPr>
    </w:lvl>
    <w:lvl w:ilvl="6">
      <w:start w:val="1"/>
      <w:numFmt w:val="decimal"/>
      <w:lvlText w:val="%7."/>
      <w:lvlJc w:val="left"/>
      <w:pPr>
        <w:tabs>
          <w:tab w:val="num" w:pos="3079"/>
        </w:tabs>
        <w:ind w:left="3079" w:hanging="360"/>
      </w:pPr>
    </w:lvl>
    <w:lvl w:ilvl="7">
      <w:start w:val="1"/>
      <w:numFmt w:val="decimal"/>
      <w:lvlText w:val="%8."/>
      <w:lvlJc w:val="left"/>
      <w:pPr>
        <w:tabs>
          <w:tab w:val="num" w:pos="3439"/>
        </w:tabs>
        <w:ind w:left="3439" w:hanging="360"/>
      </w:pPr>
    </w:lvl>
    <w:lvl w:ilvl="8">
      <w:start w:val="1"/>
      <w:numFmt w:val="decimal"/>
      <w:lvlText w:val="%9."/>
      <w:lvlJc w:val="left"/>
      <w:pPr>
        <w:tabs>
          <w:tab w:val="num" w:pos="3799"/>
        </w:tabs>
        <w:ind w:left="3799" w:hanging="360"/>
      </w:pPr>
    </w:lvl>
  </w:abstractNum>
  <w:abstractNum w:abstractNumId="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bering>
</file>

<file path=word/settings.xml><?xml version="1.0" encoding="utf-8"?>
<w:settings xmlns:w="http://schemas.openxmlformats.org/wordprocessingml/2006/main">
  <w:zoom w:percent="80"/>
  <w:defaultTabStop w:val="850"/>
  <w:autoHyphenation w:val="true"/>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en-GB" w:eastAsia="en-US" w:bidi="ar-SA"/>
      </w:rPr>
    </w:rPrDefault>
    <w:pPrDefault>
      <w:pPr>
        <w:suppressAutoHyphens w:val="true"/>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suppressAutoHyphens w:val="true"/>
      <w:bidi w:val="0"/>
      <w:spacing w:lineRule="auto" w:line="276" w:before="0" w:after="200"/>
      <w:jc w:val="left"/>
    </w:pPr>
    <w:rPr>
      <w:rFonts w:ascii="Calibri" w:hAnsi="Calibri" w:eastAsia="Calibri" w:cs="" w:asciiTheme="minorHAnsi" w:cstheme="minorBidi" w:eastAsiaTheme="minorHAnsi" w:hAnsiTheme="minorHAnsi"/>
      <w:color w:val="auto"/>
      <w:kern w:val="0"/>
      <w:sz w:val="22"/>
      <w:szCs w:val="22"/>
      <w:lang w:val="en-GB" w:eastAsia="en-US" w:bidi="ar-SA"/>
    </w:rPr>
  </w:style>
  <w:style w:type="character" w:styleId="DefaultParagraphFont" w:default="1">
    <w:name w:val="Default Paragraph Font"/>
    <w:uiPriority w:val="1"/>
    <w:semiHidden/>
    <w:unhideWhenUsed/>
    <w:qFormat/>
    <w:rPr/>
  </w:style>
  <w:style w:type="character" w:styleId="Chtext">
    <w:name w:val="Ch-text"/>
    <w:basedOn w:val="DefaultParagraphFont"/>
    <w:qFormat/>
    <w:rPr>
      <w:b/>
      <w:i/>
      <w:color w:val="548DD4"/>
    </w:rPr>
  </w:style>
  <w:style w:type="character" w:styleId="NumberingSymbols">
    <w:name w:val="Numbering Symbols"/>
    <w:qFormat/>
    <w:rPr/>
  </w:style>
  <w:style w:type="paragraph" w:styleId="Heading">
    <w:name w:val="Heading"/>
    <w:basedOn w:val="Normal"/>
    <w:next w:val="TextBody"/>
    <w:qFormat/>
    <w:pPr>
      <w:keepNext w:val="true"/>
      <w:spacing w:before="240" w:after="120"/>
    </w:pPr>
    <w:rPr>
      <w:rFonts w:ascii="Calibri" w:hAnsi="Calibri" w:eastAsia="Microsoft YaHei" w:cs="Lucida Sans"/>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ascii="Calibri" w:hAnsi="Calibri" w:cs="Lucida Sans"/>
      <w:sz w:val="20"/>
    </w:rPr>
  </w:style>
  <w:style w:type="paragraph" w:styleId="Caption">
    <w:name w:val="Caption"/>
    <w:basedOn w:val="Normal"/>
    <w:qFormat/>
    <w:pPr>
      <w:suppressLineNumbers/>
      <w:spacing w:before="120" w:after="120"/>
    </w:pPr>
    <w:rPr>
      <w:rFonts w:ascii="Calibri" w:hAnsi="Calibri" w:cs="Lucida Sans"/>
      <w:i/>
      <w:iCs/>
      <w:sz w:val="20"/>
      <w:szCs w:val="24"/>
    </w:rPr>
  </w:style>
  <w:style w:type="paragraph" w:styleId="Index">
    <w:name w:val="Index"/>
    <w:basedOn w:val="Normal"/>
    <w:qFormat/>
    <w:pPr>
      <w:suppressLineNumbers/>
    </w:pPr>
    <w:rPr>
      <w:rFonts w:ascii="Calibri" w:hAnsi="Calibri" w:cs="Lucida Sans"/>
      <w:sz w:val="20"/>
    </w:rPr>
  </w:style>
  <w:style w:type="paragraph" w:styleId="NoSpacing">
    <w:name w:val="No Spacing"/>
    <w:uiPriority w:val="1"/>
    <w:qFormat/>
    <w:rsid w:val="001d1586"/>
    <w:pPr>
      <w:widowControl/>
      <w:suppressAutoHyphens w:val="true"/>
      <w:bidi w:val="0"/>
      <w:spacing w:lineRule="auto" w:line="240" w:before="0" w:after="0"/>
      <w:jc w:val="left"/>
    </w:pPr>
    <w:rPr>
      <w:rFonts w:ascii="Calibri" w:hAnsi="Calibri" w:eastAsia="Calibri" w:cs="" w:asciiTheme="minorHAnsi" w:cstheme="minorBidi" w:eastAsiaTheme="minorHAnsi" w:hAnsiTheme="minorHAnsi"/>
      <w:color w:val="auto"/>
      <w:kern w:val="0"/>
      <w:sz w:val="22"/>
      <w:szCs w:val="22"/>
      <w:lang w:val="en-GB" w:eastAsia="en-US" w:bidi="ar-SA"/>
    </w:rPr>
  </w:style>
  <w:style w:type="paragraph" w:styleId="Tableleft">
    <w:name w:val="Table-left"/>
    <w:basedOn w:val="Normal"/>
    <w:qFormat/>
    <w:pPr>
      <w:spacing w:lineRule="atLeast" w:line="100" w:before="60" w:after="0"/>
      <w:jc w:val="right"/>
    </w:pPr>
    <w:rPr>
      <w:rFonts w:ascii="Arial" w:hAnsi="Arial" w:cs="Arial"/>
      <w:i/>
      <w:iCs/>
      <w:sz w:val="20"/>
    </w:rPr>
  </w:style>
  <w:style w:type="paragraph" w:styleId="Tablecentre">
    <w:name w:val="Table-centre"/>
    <w:basedOn w:val="Normal"/>
    <w:qFormat/>
    <w:pPr>
      <w:spacing w:lineRule="atLeast" w:line="100" w:before="60" w:after="0"/>
      <w:jc w:val="right"/>
    </w:pPr>
    <w:rPr>
      <w:rFonts w:ascii="Arial" w:hAnsi="Arial" w:eastAsia="Times New Roman" w:cs="Arial"/>
      <w:i/>
      <w:iCs/>
      <w:sz w:val="20"/>
      <w:szCs w:val="20"/>
      <w:lang w:eastAsia="en-GB"/>
    </w:rPr>
  </w:style>
  <w:style w:type="paragraph" w:styleId="HeaderandFooter">
    <w:name w:val="Header and Footer"/>
    <w:basedOn w:val="Normal"/>
    <w:qFormat/>
    <w:pPr>
      <w:suppressLineNumbers/>
      <w:tabs>
        <w:tab w:val="clear" w:pos="850"/>
        <w:tab w:val="center" w:pos="4732" w:leader="none"/>
        <w:tab w:val="right" w:pos="9465" w:leader="none"/>
      </w:tabs>
    </w:pPr>
    <w:rPr/>
  </w:style>
  <w:style w:type="paragraph" w:styleId="Header">
    <w:name w:val="Header"/>
    <w:basedOn w:val="HeaderandFooter"/>
    <w:pPr>
      <w:suppressLineNumbers/>
    </w:pPr>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eader" Target="header1.xml"/><Relationship Id="rId4" Type="http://schemas.openxmlformats.org/officeDocument/2006/relationships/numbering" Target="numbering.xml"/><Relationship Id="rId5" Type="http://schemas.openxmlformats.org/officeDocument/2006/relationships/fontTable" Target="fontTable.xml"/><Relationship Id="rId6" Type="http://schemas.openxmlformats.org/officeDocument/2006/relationships/settings" Target="settings.xml"/><Relationship Id="rId7"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43</TotalTime>
  <Application>LibreOffice/7.2.5.2$Windows_X86_64 LibreOffice_project/499f9727c189e6ef3471021d6132d4c694f357e5</Application>
  <AppVersion>15.0000</AppVersion>
  <Pages>3</Pages>
  <Words>763</Words>
  <Characters>3442</Characters>
  <CharactersWithSpaces>4357</CharactersWithSpaces>
  <Paragraphs>31</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2019-01-31T20:02:00Z</dcterms:created>
  <dc:creator>Cummins</dc:creator>
  <dc:description/>
  <dc:language>en-US</dc:language>
  <cp:lastModifiedBy>Robert Verbruggen</cp:lastModifiedBy>
  <cp:lastPrinted>2019-01-31T19:37:00Z</cp:lastPrinted>
  <dcterms:modified xsi:type="dcterms:W3CDTF">2022-03-20T09:28:00Z</dcterms:modified>
  <cp:revision>13</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0</vt:bool>
  </property>
  <property fmtid="{D5CDD505-2E9C-101B-9397-08002B2CF9AE}" pid="3" name="LinksUpToDate">
    <vt:bool>0</vt:bool>
  </property>
  <property fmtid="{D5CDD505-2E9C-101B-9397-08002B2CF9AE}" pid="4" name="ScaleCrop">
    <vt:bool>0</vt:bool>
  </property>
  <property fmtid="{D5CDD505-2E9C-101B-9397-08002B2CF9AE}" pid="5" name="ShareDoc">
    <vt:bool>0</vt:bool>
  </property>
</Properties>
</file>